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G0A 3K0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FAC-2025-74083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2025-11-06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FAC-2025-74083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Yves Baillargeon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baillargeony@gmail.com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2025-10-24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2025-10-24T15:51:15Z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